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BC1B" w14:textId="4583F779" w:rsidR="00EF613C" w:rsidRPr="003A503E" w:rsidRDefault="008A784E" w:rsidP="008A784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4C3A6" wp14:editId="0F37BAD5">
            <wp:simplePos x="0" y="0"/>
            <wp:positionH relativeFrom="margin">
              <wp:align>center</wp:align>
            </wp:positionH>
            <wp:positionV relativeFrom="page">
              <wp:posOffset>46990</wp:posOffset>
            </wp:positionV>
            <wp:extent cx="5331460" cy="2535555"/>
            <wp:effectExtent l="0" t="0" r="0" b="0"/>
            <wp:wrapSquare wrapText="bothSides"/>
            <wp:docPr id="1109068818" name="Picture 1" descr="Midlothian CP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68818" name="Picture 1" descr="Midlothian CP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35" t="33846" r="5376" b="30420"/>
                    <a:stretch/>
                  </pic:blipFill>
                  <pic:spPr bwMode="auto">
                    <a:xfrm>
                      <a:off x="0" y="0"/>
                      <a:ext cx="533146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668">
        <w:rPr>
          <w:rFonts w:ascii="Arial" w:hAnsi="Arial" w:cs="Arial"/>
          <w:b/>
          <w:sz w:val="24"/>
          <w:szCs w:val="24"/>
        </w:rPr>
        <w:t>Community Planning Partnership Board Meeting</w:t>
      </w:r>
    </w:p>
    <w:p w14:paraId="5F525636" w14:textId="16905599" w:rsidR="00EF613C" w:rsidRDefault="00C32AC6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Thursday </w:t>
      </w:r>
      <w:r w:rsidR="00D31559">
        <w:rPr>
          <w:rFonts w:ascii="Arial" w:eastAsia="Times New Roman" w:hAnsi="Arial" w:cs="Arial"/>
          <w:b/>
          <w:sz w:val="24"/>
          <w:szCs w:val="24"/>
        </w:rPr>
        <w:t>5</w:t>
      </w:r>
      <w:r w:rsidR="00D31559" w:rsidRPr="00D31559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D31559">
        <w:rPr>
          <w:rFonts w:ascii="Arial" w:eastAsia="Times New Roman" w:hAnsi="Arial" w:cs="Arial"/>
          <w:b/>
          <w:sz w:val="24"/>
          <w:szCs w:val="24"/>
        </w:rPr>
        <w:t xml:space="preserve"> December </w:t>
      </w:r>
      <w:r w:rsidR="003E2F10" w:rsidRPr="003E2F10">
        <w:rPr>
          <w:rFonts w:ascii="Arial" w:eastAsia="Times New Roman" w:hAnsi="Arial" w:cs="Arial"/>
          <w:b/>
          <w:sz w:val="24"/>
          <w:szCs w:val="24"/>
        </w:rPr>
        <w:t>2024</w:t>
      </w:r>
      <w:r w:rsidR="003E2F1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01B96">
        <w:rPr>
          <w:rFonts w:ascii="Arial" w:hAnsi="Arial" w:cs="Arial"/>
          <w:b/>
          <w:sz w:val="24"/>
          <w:szCs w:val="24"/>
        </w:rPr>
        <w:t xml:space="preserve">at </w:t>
      </w:r>
      <w:r w:rsidR="006B7FCE">
        <w:rPr>
          <w:rFonts w:ascii="Arial" w:hAnsi="Arial" w:cs="Arial"/>
          <w:b/>
          <w:sz w:val="24"/>
          <w:szCs w:val="24"/>
        </w:rPr>
        <w:t>10.00am</w:t>
      </w:r>
      <w:r w:rsidR="00AE4291">
        <w:rPr>
          <w:rFonts w:ascii="Arial" w:hAnsi="Arial" w:cs="Arial"/>
          <w:b/>
          <w:sz w:val="24"/>
          <w:szCs w:val="24"/>
        </w:rPr>
        <w:t xml:space="preserve"> </w:t>
      </w:r>
      <w:r w:rsidR="001662D6">
        <w:rPr>
          <w:rFonts w:ascii="Arial" w:hAnsi="Arial" w:cs="Arial"/>
          <w:b/>
          <w:sz w:val="24"/>
          <w:szCs w:val="24"/>
        </w:rPr>
        <w:t xml:space="preserve">via </w:t>
      </w:r>
      <w:r w:rsidR="0084424C">
        <w:rPr>
          <w:rFonts w:ascii="Arial" w:hAnsi="Arial" w:cs="Arial"/>
          <w:b/>
          <w:sz w:val="24"/>
          <w:szCs w:val="24"/>
        </w:rPr>
        <w:t>Microsoft Teams</w:t>
      </w:r>
    </w:p>
    <w:p w14:paraId="0285C74A" w14:textId="77777777" w:rsidR="008E3C75" w:rsidRDefault="008E3C75" w:rsidP="008E3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C23FF0" w14:textId="2867D848" w:rsidR="00EE59D1" w:rsidRDefault="006469D2" w:rsidP="006469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Present: </w:t>
      </w:r>
      <w:r w:rsidRPr="00EA3304">
        <w:rPr>
          <w:rFonts w:ascii="Arial" w:hAnsi="Arial" w:cs="Arial"/>
          <w:bCs/>
          <w:sz w:val="24"/>
          <w:szCs w:val="24"/>
        </w:rPr>
        <w:t xml:space="preserve">Annette Lang, Grace Vickers, Jim Sherval, Lesley Kelly, Fiona Robertson, Michelle Strong, Peter Smaill, David Virgo, Colin Cassidy, Ann Stewart-Kmicha, </w:t>
      </w:r>
      <w:r w:rsidR="000D756F" w:rsidRPr="00EA3304">
        <w:rPr>
          <w:rFonts w:ascii="Arial" w:hAnsi="Arial" w:cs="Arial"/>
          <w:bCs/>
          <w:sz w:val="24"/>
          <w:szCs w:val="24"/>
        </w:rPr>
        <w:t xml:space="preserve">Rebecca Hooton, </w:t>
      </w:r>
      <w:r w:rsidR="004A2660" w:rsidRPr="00EA3304">
        <w:rPr>
          <w:rFonts w:ascii="Arial" w:hAnsi="Arial" w:cs="Arial"/>
          <w:bCs/>
          <w:sz w:val="24"/>
          <w:szCs w:val="24"/>
        </w:rPr>
        <w:t>Fiona Kennedy</w:t>
      </w:r>
      <w:r w:rsidR="00CE4936" w:rsidRPr="00EA3304">
        <w:rPr>
          <w:rFonts w:ascii="Arial" w:hAnsi="Arial" w:cs="Arial"/>
          <w:bCs/>
          <w:sz w:val="24"/>
          <w:szCs w:val="24"/>
        </w:rPr>
        <w:t xml:space="preserve">, </w:t>
      </w:r>
      <w:r w:rsidR="000F5A1A" w:rsidRPr="00EA3304">
        <w:rPr>
          <w:rFonts w:ascii="Arial" w:hAnsi="Arial" w:cs="Arial"/>
          <w:bCs/>
          <w:sz w:val="24"/>
          <w:szCs w:val="24"/>
        </w:rPr>
        <w:t xml:space="preserve">Brian Pottenger, Claire Ross, </w:t>
      </w:r>
      <w:r w:rsidR="00F337F6" w:rsidRPr="00EA3304">
        <w:rPr>
          <w:rFonts w:ascii="Arial" w:hAnsi="Arial" w:cs="Arial"/>
          <w:bCs/>
          <w:sz w:val="24"/>
          <w:szCs w:val="24"/>
        </w:rPr>
        <w:t xml:space="preserve">Wendy Campbell, Karen McGowan, Annie Watt, Julie Jessup, Dee Keiran, </w:t>
      </w:r>
      <w:r w:rsidR="00BE757B" w:rsidRPr="00EA3304">
        <w:rPr>
          <w:rFonts w:ascii="Arial" w:hAnsi="Arial" w:cs="Arial"/>
          <w:bCs/>
          <w:sz w:val="24"/>
          <w:szCs w:val="24"/>
        </w:rPr>
        <w:t xml:space="preserve">Nick Clater, </w:t>
      </w:r>
      <w:r w:rsidR="00393382" w:rsidRPr="00EA3304">
        <w:rPr>
          <w:rFonts w:ascii="Arial" w:hAnsi="Arial" w:cs="Arial"/>
          <w:bCs/>
          <w:sz w:val="24"/>
          <w:szCs w:val="24"/>
        </w:rPr>
        <w:t xml:space="preserve">Duncan Stainbank, </w:t>
      </w:r>
      <w:r w:rsidR="00D40B36" w:rsidRPr="00EA3304">
        <w:rPr>
          <w:rFonts w:ascii="Arial" w:hAnsi="Arial" w:cs="Arial"/>
          <w:bCs/>
          <w:sz w:val="24"/>
          <w:szCs w:val="24"/>
        </w:rPr>
        <w:t xml:space="preserve">Gill Main, Jane Burnett, </w:t>
      </w:r>
      <w:r w:rsidR="00A0737F" w:rsidRPr="00EA3304">
        <w:rPr>
          <w:rFonts w:ascii="Arial" w:hAnsi="Arial" w:cs="Arial"/>
          <w:bCs/>
          <w:sz w:val="24"/>
          <w:szCs w:val="24"/>
        </w:rPr>
        <w:t>Keith Fisken</w:t>
      </w:r>
    </w:p>
    <w:p w14:paraId="19B6B709" w14:textId="77777777" w:rsidR="006469D2" w:rsidRDefault="006469D2" w:rsidP="006469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BB6C99" w14:textId="34EC152A" w:rsidR="006469D2" w:rsidRPr="00EA3304" w:rsidRDefault="006469D2" w:rsidP="006469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Apologies: </w:t>
      </w:r>
      <w:r w:rsidR="00A57BEE" w:rsidRPr="00EA3304">
        <w:rPr>
          <w:rFonts w:ascii="Arial" w:hAnsi="Arial" w:cs="Arial"/>
          <w:bCs/>
          <w:sz w:val="24"/>
          <w:szCs w:val="24"/>
        </w:rPr>
        <w:t>Dave McCallum, Garry Clark, Julian Holbrook, , Morag Barrow, Pauline Winchester, Roddy Henry</w:t>
      </w:r>
      <w:r w:rsidR="003715E0" w:rsidRPr="00EA3304">
        <w:rPr>
          <w:rFonts w:ascii="Arial" w:hAnsi="Arial" w:cs="Arial"/>
          <w:bCs/>
          <w:sz w:val="24"/>
          <w:szCs w:val="24"/>
        </w:rPr>
        <w:t>, Dona Milnes</w:t>
      </w:r>
      <w:r w:rsidR="000D756F" w:rsidRPr="00EA3304">
        <w:rPr>
          <w:rFonts w:ascii="Arial" w:hAnsi="Arial" w:cs="Arial"/>
          <w:bCs/>
          <w:sz w:val="24"/>
          <w:szCs w:val="24"/>
        </w:rPr>
        <w:t xml:space="preserve">, Grace Cowan, </w:t>
      </w:r>
      <w:r w:rsidR="00E5726E" w:rsidRPr="00EA3304">
        <w:rPr>
          <w:rFonts w:ascii="Arial" w:hAnsi="Arial" w:cs="Arial"/>
          <w:bCs/>
          <w:sz w:val="24"/>
          <w:szCs w:val="24"/>
        </w:rPr>
        <w:t>Lynsey Davidson, John Fortune, Mark Mc</w:t>
      </w:r>
      <w:r w:rsidR="00A0737F" w:rsidRPr="00EA3304">
        <w:rPr>
          <w:rFonts w:ascii="Arial" w:hAnsi="Arial" w:cs="Arial"/>
          <w:bCs/>
          <w:sz w:val="24"/>
          <w:szCs w:val="24"/>
        </w:rPr>
        <w:t>M</w:t>
      </w:r>
      <w:r w:rsidR="00E5726E" w:rsidRPr="00EA3304">
        <w:rPr>
          <w:rFonts w:ascii="Arial" w:hAnsi="Arial" w:cs="Arial"/>
          <w:bCs/>
          <w:sz w:val="24"/>
          <w:szCs w:val="24"/>
        </w:rPr>
        <w:t xml:space="preserve">ullen, </w:t>
      </w:r>
      <w:r w:rsidR="004A2660" w:rsidRPr="00EA3304">
        <w:rPr>
          <w:rFonts w:ascii="Arial" w:hAnsi="Arial" w:cs="Arial"/>
          <w:bCs/>
          <w:sz w:val="24"/>
          <w:szCs w:val="24"/>
        </w:rPr>
        <w:t xml:space="preserve">Micheal Jeffery, Rebekah Sullivan, </w:t>
      </w:r>
      <w:r w:rsidR="00BE757B" w:rsidRPr="00EA3304">
        <w:rPr>
          <w:rFonts w:ascii="Arial" w:hAnsi="Arial" w:cs="Arial"/>
          <w:bCs/>
          <w:sz w:val="24"/>
          <w:szCs w:val="24"/>
        </w:rPr>
        <w:t>Kevin Anderson,</w:t>
      </w:r>
      <w:r w:rsidR="00393382" w:rsidRPr="00EA3304">
        <w:rPr>
          <w:rFonts w:ascii="Arial" w:hAnsi="Arial" w:cs="Arial"/>
          <w:bCs/>
          <w:sz w:val="24"/>
          <w:szCs w:val="24"/>
        </w:rPr>
        <w:t xml:space="preserve"> </w:t>
      </w:r>
    </w:p>
    <w:p w14:paraId="5FBC8D29" w14:textId="77777777" w:rsidR="005A5040" w:rsidRDefault="005A5040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1BD0B9" w14:textId="15CE2436" w:rsidR="00EF613C" w:rsidRDefault="00EF613C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2330D5" w14:textId="11C37623" w:rsidR="00EF613C" w:rsidRPr="00C34BB0" w:rsidRDefault="00EF613C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4696"/>
        <w:gridCol w:w="1774"/>
      </w:tblGrid>
      <w:tr w:rsidR="000461E0" w:rsidRPr="00F65668" w14:paraId="10388B65" w14:textId="77777777" w:rsidTr="00D41488">
        <w:trPr>
          <w:trHeight w:val="548"/>
          <w:tblHeader/>
        </w:trPr>
        <w:tc>
          <w:tcPr>
            <w:tcW w:w="1412" w:type="pct"/>
          </w:tcPr>
          <w:p w14:paraId="43DB092E" w14:textId="77777777" w:rsidR="000461E0" w:rsidRPr="00F65668" w:rsidRDefault="000461E0" w:rsidP="00F65668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F65668">
              <w:rPr>
                <w:rFonts w:ascii="Arial" w:eastAsiaTheme="minorHAnsi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2604" w:type="pct"/>
          </w:tcPr>
          <w:p w14:paraId="6BED4A32" w14:textId="297FBEB7" w:rsidR="000461E0" w:rsidRDefault="000461E0" w:rsidP="00F65668">
            <w:pPr>
              <w:spacing w:after="160" w:line="259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Minutes</w:t>
            </w:r>
          </w:p>
        </w:tc>
        <w:tc>
          <w:tcPr>
            <w:tcW w:w="984" w:type="pct"/>
          </w:tcPr>
          <w:p w14:paraId="44FBF025" w14:textId="358289CD" w:rsidR="000461E0" w:rsidRPr="00F65668" w:rsidRDefault="000461E0" w:rsidP="00F65668">
            <w:pPr>
              <w:spacing w:after="160" w:line="259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</w:tr>
      <w:tr w:rsidR="000461E0" w:rsidRPr="00F65668" w14:paraId="1DD1F8B6" w14:textId="77777777" w:rsidTr="00D70E13">
        <w:trPr>
          <w:trHeight w:val="1003"/>
        </w:trPr>
        <w:tc>
          <w:tcPr>
            <w:tcW w:w="1412" w:type="pct"/>
          </w:tcPr>
          <w:p w14:paraId="325907E4" w14:textId="77777777" w:rsidR="000461E0" w:rsidRPr="00F65668" w:rsidRDefault="000461E0" w:rsidP="000D17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5668">
              <w:rPr>
                <w:rFonts w:ascii="Arial" w:eastAsia="Times New Roman" w:hAnsi="Arial" w:cs="Arial"/>
                <w:sz w:val="24"/>
                <w:szCs w:val="24"/>
              </w:rPr>
              <w:t>Approval of Minutes</w:t>
            </w:r>
          </w:p>
          <w:p w14:paraId="42E302ED" w14:textId="77777777" w:rsidR="000461E0" w:rsidRPr="00640D25" w:rsidRDefault="000461E0" w:rsidP="000D17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5668">
              <w:rPr>
                <w:rFonts w:ascii="Arial" w:eastAsiaTheme="minorHAnsi" w:hAnsi="Arial" w:cs="Arial"/>
                <w:sz w:val="24"/>
                <w:szCs w:val="24"/>
              </w:rPr>
              <w:t>Matters Arising</w:t>
            </w:r>
          </w:p>
          <w:p w14:paraId="6266E4AA" w14:textId="77777777" w:rsidR="000461E0" w:rsidRPr="00243AA8" w:rsidRDefault="000461E0" w:rsidP="00640D2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B6E964" w14:textId="3F6CD103" w:rsidR="000461E0" w:rsidRPr="00872907" w:rsidRDefault="000461E0" w:rsidP="00BF7C9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4" w:type="pct"/>
          </w:tcPr>
          <w:p w14:paraId="6E5DD745" w14:textId="0BC271C5" w:rsidR="000461E0" w:rsidRDefault="006752B5" w:rsidP="00CD61C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The Board approved the previous minutes of the meeting</w:t>
            </w:r>
            <w:r w:rsidR="00565716">
              <w:rPr>
                <w:rFonts w:ascii="Arial" w:eastAsiaTheme="minorHAnsi" w:hAnsi="Arial" w:cs="Arial"/>
                <w:sz w:val="24"/>
                <w:szCs w:val="24"/>
              </w:rPr>
              <w:t xml:space="preserve"> and the only matter arising was the risk paper which is on the agenda. </w:t>
            </w:r>
          </w:p>
        </w:tc>
        <w:tc>
          <w:tcPr>
            <w:tcW w:w="984" w:type="pct"/>
          </w:tcPr>
          <w:p w14:paraId="1D248A15" w14:textId="72266188" w:rsidR="000461E0" w:rsidRPr="00F65668" w:rsidRDefault="000461E0" w:rsidP="00CD61C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461E0" w:rsidRPr="00F65668" w14:paraId="198F40F0" w14:textId="77777777" w:rsidTr="00D70E13">
        <w:trPr>
          <w:trHeight w:val="700"/>
        </w:trPr>
        <w:tc>
          <w:tcPr>
            <w:tcW w:w="1412" w:type="pct"/>
          </w:tcPr>
          <w:p w14:paraId="2294DD63" w14:textId="77777777" w:rsidR="000461E0" w:rsidRDefault="000461E0" w:rsidP="000D17B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F65668">
              <w:rPr>
                <w:rFonts w:ascii="Arial" w:eastAsiaTheme="minorHAnsi" w:hAnsi="Arial" w:cs="Arial"/>
                <w:sz w:val="24"/>
                <w:szCs w:val="24"/>
              </w:rPr>
              <w:t>Action Log</w:t>
            </w:r>
          </w:p>
          <w:p w14:paraId="125F3A2B" w14:textId="037E9A4D" w:rsidR="00871679" w:rsidRPr="00EE197A" w:rsidRDefault="00871679" w:rsidP="0087167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Month Annual Repor</w:t>
            </w:r>
            <w:r w:rsidR="00054572">
              <w:rPr>
                <w:rFonts w:ascii="Arial" w:eastAsia="Times New Roman" w:hAnsi="Arial" w:cs="Arial"/>
                <w:sz w:val="24"/>
                <w:szCs w:val="24"/>
              </w:rPr>
              <w:t>t</w:t>
            </w:r>
          </w:p>
          <w:p w14:paraId="5D6D6792" w14:textId="750CD60E" w:rsidR="000461E0" w:rsidRPr="00F65668" w:rsidRDefault="000461E0" w:rsidP="000D17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Risk register </w:t>
            </w:r>
          </w:p>
        </w:tc>
        <w:tc>
          <w:tcPr>
            <w:tcW w:w="2604" w:type="pct"/>
          </w:tcPr>
          <w:p w14:paraId="5327B432" w14:textId="77777777" w:rsidR="000461E0" w:rsidRDefault="006905FC" w:rsidP="00CD61C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The CP Board reviewed the action log and agreed the following actions: </w:t>
            </w:r>
          </w:p>
          <w:p w14:paraId="12ACBC2D" w14:textId="77777777" w:rsidR="006905FC" w:rsidRDefault="006905FC" w:rsidP="006905F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Business gateway would continue to </w:t>
            </w:r>
            <w:r w:rsidR="00EA6D48">
              <w:rPr>
                <w:rFonts w:ascii="Arial" w:eastAsiaTheme="minorHAnsi" w:hAnsi="Arial" w:cs="Arial"/>
                <w:sz w:val="24"/>
                <w:szCs w:val="24"/>
              </w:rPr>
              <w:t xml:space="preserve">present updates to the Board </w:t>
            </w:r>
          </w:p>
          <w:p w14:paraId="629E4E11" w14:textId="77777777" w:rsidR="00EA6D48" w:rsidRDefault="00EA6D48" w:rsidP="006905F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Agree approach for Citizens Panel survey for 2025 </w:t>
            </w:r>
          </w:p>
          <w:p w14:paraId="7DEBDF70" w14:textId="77777777" w:rsidR="00EA6D48" w:rsidRDefault="001158B3" w:rsidP="006905F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To keep the Sestrans actions on the log </w:t>
            </w:r>
          </w:p>
          <w:p w14:paraId="5929200B" w14:textId="77777777" w:rsidR="001158B3" w:rsidRDefault="001158B3" w:rsidP="006905F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Nick Clater will establish the Equally Steering Group meetings </w:t>
            </w:r>
            <w:r w:rsidR="008C1148">
              <w:rPr>
                <w:rFonts w:ascii="Arial" w:eastAsiaTheme="minorHAnsi" w:hAnsi="Arial" w:cs="Arial"/>
                <w:sz w:val="24"/>
                <w:szCs w:val="24"/>
              </w:rPr>
              <w:t xml:space="preserve">going forward </w:t>
            </w:r>
          </w:p>
          <w:p w14:paraId="20CA1F9E" w14:textId="77777777" w:rsidR="008C1148" w:rsidRDefault="008C1148" w:rsidP="006905F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The learning estate strategic work can be removed from the action lo</w:t>
            </w:r>
            <w:r w:rsidR="00D80731">
              <w:rPr>
                <w:rFonts w:ascii="Arial" w:eastAsiaTheme="minorHAnsi" w:hAnsi="Arial" w:cs="Arial"/>
                <w:sz w:val="24"/>
                <w:szCs w:val="24"/>
              </w:rPr>
              <w:t xml:space="preserve">g </w:t>
            </w:r>
          </w:p>
          <w:p w14:paraId="02E295E1" w14:textId="77777777" w:rsidR="00D80731" w:rsidRDefault="00D80731" w:rsidP="006905F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Good Food nation work would continue to meet every two months and the group would review widening the steering group</w:t>
            </w:r>
            <w:r w:rsidR="00FC49CC"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</w:p>
          <w:p w14:paraId="2CCD3A37" w14:textId="77777777" w:rsidR="00FC49CC" w:rsidRDefault="00FC49CC" w:rsidP="00FC49C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Climate Change Action Hub will provided an update in 2025 </w:t>
            </w:r>
          </w:p>
          <w:p w14:paraId="2609F646" w14:textId="77777777" w:rsidR="00FC49CC" w:rsidRDefault="00FC49CC" w:rsidP="00FC49CC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FDB67C0" w14:textId="77777777" w:rsidR="00FC49CC" w:rsidRDefault="00FC49CC" w:rsidP="00FC49CC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The Board acknowledge receipt of the 6 Month Annual Report and </w:t>
            </w:r>
            <w:r w:rsidR="00F34ADC">
              <w:rPr>
                <w:rFonts w:ascii="Arial" w:eastAsiaTheme="minorHAnsi" w:hAnsi="Arial" w:cs="Arial"/>
                <w:sz w:val="24"/>
                <w:szCs w:val="24"/>
              </w:rPr>
              <w:t xml:space="preserve">recognised that this was for a 6 month period due to the transition from a yearly SMP to a 4 yearly plan. </w:t>
            </w:r>
          </w:p>
          <w:p w14:paraId="400D33F1" w14:textId="7F5610D6" w:rsidR="00F34ADC" w:rsidRPr="00FC49CC" w:rsidRDefault="00F40338" w:rsidP="00FC49CC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The Board reviewed the risk descriptors, internal controls, risk scores and status. The Board did not change any of the scores or statuses</w:t>
            </w:r>
            <w:r w:rsidR="008B6AC7">
              <w:rPr>
                <w:rFonts w:ascii="Arial" w:eastAsiaTheme="minorHAnsi" w:hAnsi="Arial" w:cs="Arial"/>
                <w:sz w:val="24"/>
                <w:szCs w:val="24"/>
              </w:rPr>
              <w:t xml:space="preserve">. Analysis of annual attendance will be required early 2025 for the 2024 year. </w:t>
            </w:r>
            <w:r w:rsidR="00732243">
              <w:rPr>
                <w:rFonts w:ascii="Arial" w:eastAsiaTheme="minorHAnsi" w:hAnsi="Arial" w:cs="Arial"/>
                <w:sz w:val="24"/>
                <w:szCs w:val="24"/>
              </w:rPr>
              <w:t xml:space="preserve">The Board recognised that the self evaluation session may also generate additional internal control measures going forward. </w:t>
            </w:r>
          </w:p>
        </w:tc>
        <w:tc>
          <w:tcPr>
            <w:tcW w:w="984" w:type="pct"/>
          </w:tcPr>
          <w:p w14:paraId="492B34A4" w14:textId="0EAA265F" w:rsidR="000461E0" w:rsidRPr="00F65668" w:rsidRDefault="000461E0" w:rsidP="00CD61C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461E0" w:rsidRPr="00F65668" w14:paraId="60BEBEDF" w14:textId="77777777" w:rsidTr="00D70E13">
        <w:trPr>
          <w:trHeight w:val="548"/>
        </w:trPr>
        <w:tc>
          <w:tcPr>
            <w:tcW w:w="1412" w:type="pct"/>
          </w:tcPr>
          <w:p w14:paraId="24F6BB57" w14:textId="77777777" w:rsidR="000461E0" w:rsidRDefault="000461E0" w:rsidP="006D2ADD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CPWG Update and Asks</w:t>
            </w:r>
          </w:p>
          <w:p w14:paraId="56C7F542" w14:textId="77777777" w:rsidR="006D2ADD" w:rsidRDefault="006D2ADD" w:rsidP="006D2ADD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7C978F1" w14:textId="480E6B57" w:rsidR="006D2ADD" w:rsidRPr="003E2F10" w:rsidRDefault="006D2ADD" w:rsidP="006D2ADD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EE197A">
              <w:rPr>
                <w:rFonts w:ascii="Arial" w:eastAsiaTheme="minorHAnsi" w:hAnsi="Arial" w:cs="Arial"/>
                <w:sz w:val="24"/>
                <w:szCs w:val="24"/>
              </w:rPr>
              <w:t>Funding update paper</w:t>
            </w:r>
          </w:p>
        </w:tc>
        <w:tc>
          <w:tcPr>
            <w:tcW w:w="2604" w:type="pct"/>
          </w:tcPr>
          <w:p w14:paraId="0FFAB841" w14:textId="45281892" w:rsidR="004D2843" w:rsidRDefault="007E64EA" w:rsidP="004D28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Lesley as Chair of the CPWG </w:t>
            </w:r>
            <w:r w:rsidR="00DD10FA">
              <w:rPr>
                <w:rFonts w:ascii="Arial" w:eastAsiaTheme="minorHAnsi" w:hAnsi="Arial" w:cs="Arial"/>
                <w:sz w:val="24"/>
                <w:szCs w:val="24"/>
              </w:rPr>
              <w:t>outlined the items covering at the recent meeting on 21</w:t>
            </w:r>
            <w:r w:rsidR="00DD10FA" w:rsidRPr="00DD10FA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st</w:t>
            </w:r>
            <w:r w:rsidR="00DD10FA">
              <w:rPr>
                <w:rFonts w:ascii="Arial" w:eastAsiaTheme="minorHAnsi" w:hAnsi="Arial" w:cs="Arial"/>
                <w:sz w:val="24"/>
                <w:szCs w:val="24"/>
              </w:rPr>
              <w:t xml:space="preserve"> November 2024. This included information from Lorraine Chapman on </w:t>
            </w:r>
            <w:r w:rsidR="004D2843">
              <w:rPr>
                <w:rFonts w:ascii="Arial" w:eastAsiaTheme="minorHAnsi" w:hAnsi="Arial" w:cs="Arial"/>
                <w:sz w:val="24"/>
                <w:szCs w:val="24"/>
              </w:rPr>
              <w:t xml:space="preserve">asylum seekers. </w:t>
            </w:r>
            <w:r w:rsidR="004D2843" w:rsidRPr="00AF7A84">
              <w:rPr>
                <w:rFonts w:ascii="Arial" w:hAnsi="Arial" w:cs="Arial"/>
                <w:color w:val="000000" w:themeColor="text1"/>
                <w:sz w:val="24"/>
                <w:szCs w:val="24"/>
              </w:rPr>
              <w:t>Midlothian</w:t>
            </w:r>
            <w:r w:rsidR="004D2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has been</w:t>
            </w:r>
            <w:r w:rsidR="004D2843" w:rsidRPr="00AF7A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allocated 186 beds for asylum seekers </w:t>
            </w:r>
            <w:r w:rsidR="004D2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across </w:t>
            </w:r>
            <w:r w:rsidR="004D2843" w:rsidRPr="00AF7A84">
              <w:rPr>
                <w:rFonts w:ascii="Arial" w:hAnsi="Arial" w:cs="Arial"/>
                <w:color w:val="000000" w:themeColor="text1"/>
                <w:sz w:val="24"/>
                <w:szCs w:val="24"/>
              </w:rPr>
              <w:t>12 properties</w:t>
            </w:r>
            <w:r w:rsidR="004D2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90% of those arriving are single men and women. These individuals have no recourse to public funds and are only entitled to an aspire card with £46 per week for food. Properties can be shared by individuals who are not related and individuals cannot apply for benefits, housing etc </w:t>
            </w:r>
          </w:p>
          <w:p w14:paraId="207B5C33" w14:textId="77777777" w:rsidR="004D2843" w:rsidRDefault="004D2843" w:rsidP="004D28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2F7F0B" w14:textId="77777777" w:rsidR="000461E0" w:rsidRDefault="004D2843" w:rsidP="004D2843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If visa are rejected individuals c</w:t>
            </w:r>
            <w:r w:rsidRPr="0084436B">
              <w:rPr>
                <w:rFonts w:ascii="Arial" w:hAnsi="Arial" w:cs="Arial"/>
                <w:color w:val="000000" w:themeColor="text1"/>
                <w:sz w:val="24"/>
                <w:szCs w:val="24"/>
              </w:rPr>
              <w:t>ome under umbrella of destitution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.70% of visa applications are positive but 30% will be rejected with responses taking around 6/7 months. There was a request by the CPWG </w:t>
            </w:r>
            <w:r w:rsidR="001C21A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 information to be provided on what met and did not meet the criteria of </w:t>
            </w:r>
            <w:r w:rsidR="001C21A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no recourse to public funds. Lorraine had agreed she would include this in discussions to the working group. </w:t>
            </w:r>
          </w:p>
          <w:p w14:paraId="3E346F02" w14:textId="77777777" w:rsidR="00370FC6" w:rsidRDefault="001C21AE" w:rsidP="004D284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CPWG also discusses the </w:t>
            </w:r>
            <w:r w:rsidR="00176F30">
              <w:rPr>
                <w:rFonts w:ascii="Arial" w:hAnsi="Arial" w:cs="Arial"/>
                <w:sz w:val="24"/>
                <w:szCs w:val="24"/>
              </w:rPr>
              <w:t xml:space="preserve">whole systems approach to diabetes and the CLD Plan. </w:t>
            </w:r>
          </w:p>
          <w:p w14:paraId="42C958CF" w14:textId="054D30E8" w:rsidR="00483ED0" w:rsidRDefault="00176F30" w:rsidP="004D284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CPWG also wished to highlight the report produced by Annette and Lesley </w:t>
            </w:r>
            <w:r w:rsidR="00370FC6">
              <w:rPr>
                <w:rFonts w:ascii="Arial" w:hAnsi="Arial" w:cs="Arial"/>
                <w:sz w:val="24"/>
                <w:szCs w:val="24"/>
              </w:rPr>
              <w:t>on the funding risks.</w:t>
            </w:r>
            <w:r w:rsidR="00483ED0">
              <w:rPr>
                <w:rFonts w:ascii="Arial" w:hAnsi="Arial" w:cs="Arial"/>
                <w:sz w:val="24"/>
                <w:szCs w:val="24"/>
              </w:rPr>
              <w:t xml:space="preserve"> Lesley provided the following presentation to the Board based on the risk paper developed. </w:t>
            </w:r>
            <w:r w:rsidR="00A57B86">
              <w:rPr>
                <w:rFonts w:ascii="Arial" w:hAnsi="Arial" w:cs="Arial"/>
                <w:sz w:val="24"/>
                <w:szCs w:val="24"/>
              </w:rPr>
              <w:t xml:space="preserve">The Board are </w:t>
            </w:r>
            <w:r w:rsidR="00A425E5">
              <w:rPr>
                <w:rFonts w:ascii="Arial" w:hAnsi="Arial" w:cs="Arial"/>
                <w:sz w:val="24"/>
                <w:szCs w:val="24"/>
              </w:rPr>
              <w:t>to consider the asks from the CPWG regarding the risk presentation</w:t>
            </w:r>
            <w:r w:rsidR="00D4148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E34771" w14:textId="7A723E6C" w:rsidR="001C21AE" w:rsidRDefault="00370FC6" w:rsidP="004D2843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</w:tcPr>
          <w:p w14:paraId="17317E16" w14:textId="4F724018" w:rsidR="000461E0" w:rsidRDefault="0051327F" w:rsidP="00CD61C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Board to review the asks of funding risks and respond to Lesley directly with suggestions</w:t>
            </w:r>
          </w:p>
        </w:tc>
      </w:tr>
      <w:tr w:rsidR="000461E0" w:rsidRPr="00F65668" w14:paraId="149DD4E3" w14:textId="77777777" w:rsidTr="00D70E13">
        <w:trPr>
          <w:trHeight w:val="909"/>
        </w:trPr>
        <w:tc>
          <w:tcPr>
            <w:tcW w:w="1412" w:type="pct"/>
          </w:tcPr>
          <w:p w14:paraId="457D1E62" w14:textId="77777777" w:rsidR="000461E0" w:rsidRDefault="000461E0" w:rsidP="00014E80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Single Midlothian Plan Reporting </w:t>
            </w:r>
          </w:p>
          <w:p w14:paraId="290E1EA3" w14:textId="76684024" w:rsidR="000461E0" w:rsidRDefault="000461E0" w:rsidP="00AA7081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Publishing H</w:t>
            </w:r>
            <w:r w:rsidR="00AA7081"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Report </w:t>
            </w:r>
          </w:p>
          <w:p w14:paraId="03A9C946" w14:textId="799738B3" w:rsidR="000461E0" w:rsidRDefault="000461E0" w:rsidP="006A03AE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04" w:type="pct"/>
          </w:tcPr>
          <w:p w14:paraId="6F29AE3B" w14:textId="41D64F23" w:rsidR="000461E0" w:rsidRDefault="00AA7081" w:rsidP="00CD61C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Rebecca Hooton </w:t>
            </w:r>
            <w:r w:rsidR="001148E2">
              <w:rPr>
                <w:rFonts w:ascii="Arial" w:eastAsiaTheme="minorHAnsi" w:hAnsi="Arial" w:cs="Arial"/>
                <w:sz w:val="24"/>
                <w:szCs w:val="24"/>
              </w:rPr>
              <w:t>introduced her new role as the strategic lead for community planning which she has taken on following JT retirement</w:t>
            </w:r>
            <w:r w:rsidR="00983C8B">
              <w:rPr>
                <w:rFonts w:ascii="Arial" w:eastAsiaTheme="minorHAnsi" w:hAnsi="Arial" w:cs="Arial"/>
                <w:sz w:val="24"/>
                <w:szCs w:val="24"/>
              </w:rPr>
              <w:t xml:space="preserve">. Community planning forms part of Rebeccas role </w:t>
            </w:r>
            <w:r w:rsidR="001148E2">
              <w:rPr>
                <w:rFonts w:ascii="Arial" w:eastAsiaTheme="minorHAnsi" w:hAnsi="Arial" w:cs="Arial"/>
                <w:sz w:val="24"/>
                <w:szCs w:val="24"/>
              </w:rPr>
              <w:t xml:space="preserve">as </w:t>
            </w:r>
            <w:r w:rsidR="00983C8B">
              <w:rPr>
                <w:rFonts w:ascii="Arial" w:eastAsiaTheme="minorHAnsi" w:hAnsi="Arial" w:cs="Arial"/>
                <w:sz w:val="24"/>
                <w:szCs w:val="24"/>
              </w:rPr>
              <w:t>C</w:t>
            </w:r>
            <w:r w:rsidR="001148E2">
              <w:rPr>
                <w:rFonts w:ascii="Arial" w:eastAsiaTheme="minorHAnsi" w:hAnsi="Arial" w:cs="Arial"/>
                <w:sz w:val="24"/>
                <w:szCs w:val="24"/>
              </w:rPr>
              <w:t xml:space="preserve">hief </w:t>
            </w:r>
            <w:r w:rsidR="00983C8B">
              <w:rPr>
                <w:rFonts w:ascii="Arial" w:eastAsiaTheme="minorHAnsi" w:hAnsi="Arial" w:cs="Arial"/>
                <w:sz w:val="24"/>
                <w:szCs w:val="24"/>
              </w:rPr>
              <w:t>O</w:t>
            </w:r>
            <w:r w:rsidR="001148E2">
              <w:rPr>
                <w:rFonts w:ascii="Arial" w:eastAsiaTheme="minorHAnsi" w:hAnsi="Arial" w:cs="Arial"/>
                <w:sz w:val="24"/>
                <w:szCs w:val="24"/>
              </w:rPr>
              <w:t xml:space="preserve">fficer </w:t>
            </w:r>
            <w:r w:rsidR="00983C8B">
              <w:rPr>
                <w:rFonts w:ascii="Arial" w:eastAsiaTheme="minorHAnsi" w:hAnsi="Arial" w:cs="Arial"/>
                <w:sz w:val="24"/>
                <w:szCs w:val="24"/>
              </w:rPr>
              <w:t>C</w:t>
            </w:r>
            <w:r w:rsidR="001148E2">
              <w:rPr>
                <w:rFonts w:ascii="Arial" w:eastAsiaTheme="minorHAnsi" w:hAnsi="Arial" w:cs="Arial"/>
                <w:sz w:val="24"/>
                <w:szCs w:val="24"/>
              </w:rPr>
              <w:t xml:space="preserve">hildren’s </w:t>
            </w:r>
            <w:r w:rsidR="00983C8B"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r w:rsidR="001148E2">
              <w:rPr>
                <w:rFonts w:ascii="Arial" w:eastAsiaTheme="minorHAnsi" w:hAnsi="Arial" w:cs="Arial"/>
                <w:sz w:val="24"/>
                <w:szCs w:val="24"/>
              </w:rPr>
              <w:t xml:space="preserve">ervices, </w:t>
            </w:r>
            <w:r w:rsidR="00983C8B">
              <w:rPr>
                <w:rFonts w:ascii="Arial" w:eastAsiaTheme="minorHAnsi" w:hAnsi="Arial" w:cs="Arial"/>
                <w:sz w:val="24"/>
                <w:szCs w:val="24"/>
              </w:rPr>
              <w:t>P</w:t>
            </w:r>
            <w:r w:rsidR="001148E2">
              <w:rPr>
                <w:rFonts w:ascii="Arial" w:eastAsiaTheme="minorHAnsi" w:hAnsi="Arial" w:cs="Arial"/>
                <w:sz w:val="24"/>
                <w:szCs w:val="24"/>
              </w:rPr>
              <w:t xml:space="preserve">artnership and </w:t>
            </w:r>
            <w:r w:rsidR="00983C8B">
              <w:rPr>
                <w:rFonts w:ascii="Arial" w:eastAsiaTheme="minorHAnsi" w:hAnsi="Arial" w:cs="Arial"/>
                <w:sz w:val="24"/>
                <w:szCs w:val="24"/>
              </w:rPr>
              <w:t>C</w:t>
            </w:r>
            <w:r w:rsidR="001148E2">
              <w:rPr>
                <w:rFonts w:ascii="Arial" w:eastAsiaTheme="minorHAnsi" w:hAnsi="Arial" w:cs="Arial"/>
                <w:sz w:val="24"/>
                <w:szCs w:val="24"/>
              </w:rPr>
              <w:t xml:space="preserve">ommunities. </w:t>
            </w:r>
          </w:p>
          <w:p w14:paraId="61B85CCC" w14:textId="2D5DBD77" w:rsidR="001148E2" w:rsidRDefault="00B743F4" w:rsidP="00CD61C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Each thematic lead presented their H1 Single Midlothian Plan for scrutiny</w:t>
            </w:r>
            <w:r w:rsidR="005A5E31">
              <w:rPr>
                <w:rFonts w:ascii="Arial" w:eastAsiaTheme="minorHAnsi" w:hAnsi="Arial" w:cs="Arial"/>
                <w:sz w:val="24"/>
                <w:szCs w:val="24"/>
              </w:rPr>
              <w:t xml:space="preserve"> and governance. They outlined their successes and challenges from April 24 to September 24. For further details please </w:t>
            </w:r>
            <w:r w:rsidR="00D314E8">
              <w:rPr>
                <w:rFonts w:ascii="Arial" w:eastAsiaTheme="minorHAnsi" w:hAnsi="Arial" w:cs="Arial"/>
                <w:sz w:val="24"/>
                <w:szCs w:val="24"/>
              </w:rPr>
              <w:t>email community.planning@midlothian.gov.uk</w:t>
            </w:r>
          </w:p>
          <w:p w14:paraId="17E1A3D7" w14:textId="5FD4D973" w:rsidR="005A5E31" w:rsidRDefault="005A5E31" w:rsidP="00CD61C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0BAEA94" w14:textId="77777777" w:rsidR="00D25C48" w:rsidRDefault="00D25C48" w:rsidP="00CD61C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The </w:t>
            </w:r>
            <w:r w:rsidR="00E64B24">
              <w:rPr>
                <w:rFonts w:ascii="Arial" w:eastAsiaTheme="minorHAnsi" w:hAnsi="Arial" w:cs="Arial"/>
                <w:sz w:val="24"/>
                <w:szCs w:val="24"/>
              </w:rPr>
              <w:t xml:space="preserve">Community Planning Board </w:t>
            </w:r>
            <w:r w:rsidR="00D67AAC">
              <w:rPr>
                <w:rFonts w:ascii="Arial" w:eastAsiaTheme="minorHAnsi" w:hAnsi="Arial" w:cs="Arial"/>
                <w:sz w:val="24"/>
                <w:szCs w:val="24"/>
              </w:rPr>
              <w:t xml:space="preserve">recognised and thanked the thematic leads for the very positive performance </w:t>
            </w:r>
            <w:r w:rsidR="00676CF1">
              <w:rPr>
                <w:rFonts w:ascii="Arial" w:eastAsiaTheme="minorHAnsi" w:hAnsi="Arial" w:cs="Arial"/>
                <w:sz w:val="24"/>
                <w:szCs w:val="24"/>
              </w:rPr>
              <w:t xml:space="preserve">information. The Board acknowledged </w:t>
            </w:r>
            <w:r w:rsidR="00493AB8">
              <w:rPr>
                <w:rFonts w:ascii="Arial" w:eastAsiaTheme="minorHAnsi" w:hAnsi="Arial" w:cs="Arial"/>
                <w:sz w:val="24"/>
                <w:szCs w:val="24"/>
              </w:rPr>
              <w:t xml:space="preserve">the positive impact </w:t>
            </w:r>
            <w:r w:rsidR="00676CF1">
              <w:rPr>
                <w:rFonts w:ascii="Arial" w:eastAsiaTheme="minorHAnsi" w:hAnsi="Arial" w:cs="Arial"/>
                <w:sz w:val="24"/>
                <w:szCs w:val="24"/>
              </w:rPr>
              <w:t>this work has had</w:t>
            </w:r>
            <w:r w:rsidR="00493AB8">
              <w:rPr>
                <w:rFonts w:ascii="Arial" w:eastAsiaTheme="minorHAnsi" w:hAnsi="Arial" w:cs="Arial"/>
                <w:sz w:val="24"/>
                <w:szCs w:val="24"/>
              </w:rPr>
              <w:t xml:space="preserve"> on </w:t>
            </w:r>
            <w:r w:rsidR="00676CF1">
              <w:rPr>
                <w:rFonts w:ascii="Arial" w:eastAsiaTheme="minorHAnsi" w:hAnsi="Arial" w:cs="Arial"/>
                <w:sz w:val="24"/>
                <w:szCs w:val="24"/>
              </w:rPr>
              <w:t xml:space="preserve">local communities.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7377F6FF" w14:textId="5611F126" w:rsidR="00493AB8" w:rsidRDefault="0055671B" w:rsidP="00CD61C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It</w:t>
            </w:r>
            <w:r w:rsidR="00493AB8">
              <w:rPr>
                <w:rFonts w:ascii="Arial" w:eastAsiaTheme="minorHAnsi" w:hAnsi="Arial" w:cs="Arial"/>
                <w:sz w:val="24"/>
                <w:szCs w:val="24"/>
              </w:rPr>
              <w:t xml:space="preserve"> was recognised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that there is a lot of information for the panel to scrutinised and alternative ways of reporting could be looked at during the Improvement Service at the self evaluation session. </w:t>
            </w:r>
          </w:p>
        </w:tc>
        <w:tc>
          <w:tcPr>
            <w:tcW w:w="984" w:type="pct"/>
          </w:tcPr>
          <w:p w14:paraId="239B371B" w14:textId="7A6639A8" w:rsidR="002407D5" w:rsidRDefault="00014E80" w:rsidP="00CD61C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GV to set up a meeting to discuss the healthier theme</w:t>
            </w:r>
            <w:r w:rsidR="00AA7081">
              <w:rPr>
                <w:rFonts w:ascii="Arial" w:eastAsiaTheme="minorHAnsi" w:hAnsi="Arial" w:cs="Arial"/>
                <w:sz w:val="24"/>
                <w:szCs w:val="24"/>
              </w:rPr>
              <w:t xml:space="preserve"> of CP and the strategic intent with MB &amp; GC</w:t>
            </w:r>
          </w:p>
        </w:tc>
      </w:tr>
      <w:tr w:rsidR="000461E0" w:rsidRPr="00F65668" w14:paraId="2A1A0328" w14:textId="77777777" w:rsidTr="00D70E13">
        <w:trPr>
          <w:trHeight w:val="517"/>
        </w:trPr>
        <w:tc>
          <w:tcPr>
            <w:tcW w:w="1412" w:type="pct"/>
          </w:tcPr>
          <w:p w14:paraId="7BFA1528" w14:textId="27F831CC" w:rsidR="000461E0" w:rsidRDefault="000461E0" w:rsidP="001148E2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Community Planning Conference Report</w:t>
            </w:r>
          </w:p>
          <w:p w14:paraId="4B138E43" w14:textId="5C1093D0" w:rsidR="000461E0" w:rsidRDefault="000461E0" w:rsidP="007A2224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04" w:type="pct"/>
          </w:tcPr>
          <w:p w14:paraId="010F4E32" w14:textId="6BDEE9D0" w:rsidR="00483ED0" w:rsidRDefault="00483ED0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This item has been carried over to the next meeting</w:t>
            </w:r>
          </w:p>
          <w:p w14:paraId="7747BCF5" w14:textId="07ACA4D4" w:rsidR="00483ED0" w:rsidRDefault="00483ED0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This will be picked up in matters arising in the January </w:t>
            </w:r>
            <w:r w:rsidR="006F5C85">
              <w:rPr>
                <w:rFonts w:ascii="Arial" w:eastAsiaTheme="minorHAnsi" w:hAnsi="Arial" w:cs="Arial"/>
                <w:sz w:val="24"/>
                <w:szCs w:val="24"/>
              </w:rPr>
              <w:t xml:space="preserve">meeting. </w:t>
            </w:r>
          </w:p>
        </w:tc>
        <w:tc>
          <w:tcPr>
            <w:tcW w:w="984" w:type="pct"/>
          </w:tcPr>
          <w:p w14:paraId="48456AAB" w14:textId="09DA8B22" w:rsidR="000461E0" w:rsidRDefault="00E02253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Item to be included </w:t>
            </w:r>
            <w:r w:rsidR="00E1135B">
              <w:rPr>
                <w:rFonts w:ascii="Arial" w:eastAsiaTheme="minorHAnsi" w:hAnsi="Arial" w:cs="Arial"/>
                <w:sz w:val="24"/>
                <w:szCs w:val="24"/>
              </w:rPr>
              <w:t>on January agenda</w:t>
            </w:r>
          </w:p>
        </w:tc>
      </w:tr>
      <w:tr w:rsidR="00871679" w:rsidRPr="00F65668" w14:paraId="418AED3F" w14:textId="77777777" w:rsidTr="00D70E13">
        <w:trPr>
          <w:trHeight w:val="517"/>
        </w:trPr>
        <w:tc>
          <w:tcPr>
            <w:tcW w:w="1412" w:type="pct"/>
          </w:tcPr>
          <w:p w14:paraId="6887B8E6" w14:textId="102D2A96" w:rsidR="00871679" w:rsidRDefault="00871679" w:rsidP="001148E2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CLD Strategic Plan</w:t>
            </w:r>
          </w:p>
        </w:tc>
        <w:tc>
          <w:tcPr>
            <w:tcW w:w="2604" w:type="pct"/>
          </w:tcPr>
          <w:p w14:paraId="39CD3A7A" w14:textId="672EC831" w:rsidR="00871679" w:rsidRDefault="0087167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Michelle Strong outlined the statutory duty that the Council and partners to produce a 3 year CLD Plan. </w:t>
            </w:r>
            <w:r w:rsidR="009E344D">
              <w:rPr>
                <w:rFonts w:ascii="Arial" w:eastAsiaTheme="minorHAnsi" w:hAnsi="Arial" w:cs="Arial"/>
                <w:sz w:val="24"/>
                <w:szCs w:val="24"/>
              </w:rPr>
              <w:t>A draft plan was present to the CP Board for approval. The Plan recognises the positive work progressed on the previous 3 year plan</w:t>
            </w:r>
            <w:r w:rsidR="00317C2D">
              <w:rPr>
                <w:rFonts w:ascii="Arial" w:eastAsiaTheme="minorHAnsi" w:hAnsi="Arial" w:cs="Arial"/>
                <w:sz w:val="24"/>
                <w:szCs w:val="24"/>
              </w:rPr>
              <w:t xml:space="preserve">, acknowledges the findings of the CLD National Review, and details over 1,000 individuals and stakeholders consultation </w:t>
            </w:r>
            <w:r w:rsidR="00B6533B">
              <w:rPr>
                <w:rFonts w:ascii="Arial" w:eastAsiaTheme="minorHAnsi" w:hAnsi="Arial" w:cs="Arial"/>
                <w:sz w:val="24"/>
                <w:szCs w:val="24"/>
              </w:rPr>
              <w:t xml:space="preserve">responses. The CLD Plan contains a measurable set of actions reaching across the 3 years of the Plan. The Board approved the CLD Plan which will now be presented to Council for approval. </w:t>
            </w:r>
          </w:p>
        </w:tc>
        <w:tc>
          <w:tcPr>
            <w:tcW w:w="984" w:type="pct"/>
          </w:tcPr>
          <w:p w14:paraId="11493BE1" w14:textId="77777777" w:rsidR="00871679" w:rsidRDefault="0087167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461E0" w:rsidRPr="00F65668" w14:paraId="3030382A" w14:textId="77777777" w:rsidTr="00D70E13">
        <w:trPr>
          <w:trHeight w:val="517"/>
        </w:trPr>
        <w:tc>
          <w:tcPr>
            <w:tcW w:w="1412" w:type="pct"/>
          </w:tcPr>
          <w:p w14:paraId="573BFAC6" w14:textId="77777777" w:rsidR="000461E0" w:rsidRDefault="000461E0" w:rsidP="00493AB8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EE197A">
              <w:rPr>
                <w:rFonts w:ascii="Arial" w:eastAsiaTheme="minorHAnsi" w:hAnsi="Arial" w:cs="Arial"/>
                <w:sz w:val="24"/>
                <w:szCs w:val="24"/>
              </w:rPr>
              <w:t xml:space="preserve">Audit Scotland Report – presented by Chief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Internal </w:t>
            </w:r>
            <w:r w:rsidRPr="00EE197A">
              <w:rPr>
                <w:rFonts w:ascii="Arial" w:eastAsiaTheme="minorHAnsi" w:hAnsi="Arial" w:cs="Arial"/>
                <w:sz w:val="24"/>
                <w:szCs w:val="24"/>
              </w:rPr>
              <w:t>Auditor</w:t>
            </w:r>
          </w:p>
          <w:p w14:paraId="1588434C" w14:textId="77777777" w:rsidR="00963E6B" w:rsidRDefault="00963E6B" w:rsidP="00493AB8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3974036" w14:textId="77777777" w:rsidR="00963E6B" w:rsidRDefault="00963E6B" w:rsidP="00493AB8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61A2E5D" w14:textId="77777777" w:rsidR="00963E6B" w:rsidRDefault="00963E6B" w:rsidP="00493AB8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B90AD73" w14:textId="77777777" w:rsidR="00963E6B" w:rsidRDefault="00963E6B" w:rsidP="00493AB8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056598A" w14:textId="77777777" w:rsidR="00963E6B" w:rsidRDefault="00963E6B" w:rsidP="00493AB8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C88FB95" w14:textId="77777777" w:rsidR="00963E6B" w:rsidRDefault="00963E6B" w:rsidP="00493AB8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BCB9B8E" w14:textId="77777777" w:rsidR="00963E6B" w:rsidRDefault="00963E6B" w:rsidP="00493AB8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8793545" w14:textId="2312301C" w:rsidR="00963E6B" w:rsidRDefault="00963E6B" w:rsidP="00493AB8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04" w:type="pct"/>
          </w:tcPr>
          <w:p w14:paraId="36532CE6" w14:textId="3504AAC8" w:rsidR="000461E0" w:rsidRDefault="007E7430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Duncan Stainbank </w:t>
            </w:r>
            <w:r w:rsidR="000A00ED">
              <w:rPr>
                <w:rFonts w:ascii="Arial" w:eastAsiaTheme="minorHAnsi" w:hAnsi="Arial" w:cs="Arial"/>
                <w:sz w:val="24"/>
                <w:szCs w:val="24"/>
              </w:rPr>
              <w:t xml:space="preserve">presented the Audit Scotland Report, please </w:t>
            </w:r>
            <w:r w:rsidR="009F14B5">
              <w:rPr>
                <w:rFonts w:ascii="Arial" w:eastAsiaTheme="minorHAnsi" w:hAnsi="Arial" w:cs="Arial"/>
                <w:sz w:val="24"/>
                <w:szCs w:val="24"/>
              </w:rPr>
              <w:t xml:space="preserve">email </w:t>
            </w:r>
            <w:hyperlink r:id="rId8" w:history="1">
              <w:r w:rsidR="009F14B5" w:rsidRPr="004929A3">
                <w:rPr>
                  <w:rStyle w:val="Hyperlink"/>
                  <w:rFonts w:ascii="Arial" w:eastAsiaTheme="minorHAnsi" w:hAnsi="Arial" w:cs="Arial"/>
                  <w:sz w:val="24"/>
                  <w:szCs w:val="24"/>
                </w:rPr>
                <w:t>community.planning@midlothian.gov.uk</w:t>
              </w:r>
            </w:hyperlink>
            <w:r w:rsidR="009F14B5">
              <w:rPr>
                <w:rFonts w:ascii="Arial" w:eastAsiaTheme="minorHAnsi" w:hAnsi="Arial" w:cs="Arial"/>
                <w:sz w:val="24"/>
                <w:szCs w:val="24"/>
              </w:rPr>
              <w:t xml:space="preserve"> for more details.</w:t>
            </w:r>
          </w:p>
          <w:p w14:paraId="05E346FE" w14:textId="1BCDE466" w:rsidR="000A00ED" w:rsidRDefault="000A00ED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4B5BB24" w14:textId="1CB90B8C" w:rsidR="00284990" w:rsidRDefault="00284990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Jim Sherval highlighted the need to provide time t</w:t>
            </w:r>
            <w:r w:rsidR="00963E6B">
              <w:rPr>
                <w:rFonts w:ascii="Arial" w:eastAsiaTheme="minorHAnsi" w:hAnsi="Arial" w:cs="Arial"/>
                <w:sz w:val="24"/>
                <w:szCs w:val="24"/>
              </w:rPr>
              <w:t xml:space="preserve">o discuss this report further as it forms the core work of community planning. </w:t>
            </w:r>
          </w:p>
        </w:tc>
        <w:tc>
          <w:tcPr>
            <w:tcW w:w="984" w:type="pct"/>
          </w:tcPr>
          <w:p w14:paraId="4CFD659E" w14:textId="2707DFAD" w:rsidR="000461E0" w:rsidRDefault="007F0F2F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Create space for follow up discussion on January agenda</w:t>
            </w:r>
          </w:p>
        </w:tc>
      </w:tr>
      <w:tr w:rsidR="00963E6B" w:rsidRPr="00F65668" w14:paraId="05AC8D54" w14:textId="77777777" w:rsidTr="00750408">
        <w:trPr>
          <w:trHeight w:val="948"/>
        </w:trPr>
        <w:tc>
          <w:tcPr>
            <w:tcW w:w="1412" w:type="pct"/>
          </w:tcPr>
          <w:p w14:paraId="57AD7831" w14:textId="6179B3A9" w:rsidR="00963E6B" w:rsidRPr="00EE197A" w:rsidRDefault="00650847" w:rsidP="00493AB8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The Multiagency Transformation Steering Group Update</w:t>
            </w:r>
          </w:p>
        </w:tc>
        <w:tc>
          <w:tcPr>
            <w:tcW w:w="2604" w:type="pct"/>
          </w:tcPr>
          <w:p w14:paraId="34E8E1D8" w14:textId="1E84531B" w:rsidR="00963E6B" w:rsidRDefault="00BD632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Grace Vickers provided an update on the role of this group which is one of the main forums for responding to the aspect</w:t>
            </w:r>
            <w:r w:rsidR="0000289C">
              <w:rPr>
                <w:rFonts w:ascii="Arial" w:eastAsiaTheme="minorHAnsi" w:hAnsi="Arial" w:cs="Arial"/>
                <w:sz w:val="24"/>
                <w:szCs w:val="24"/>
              </w:rPr>
              <w:t xml:space="preserve">s outlined in the above Audit Scotland Report. Grace will provide updates on the group at future CP Board meetings. </w:t>
            </w:r>
          </w:p>
        </w:tc>
        <w:tc>
          <w:tcPr>
            <w:tcW w:w="984" w:type="pct"/>
          </w:tcPr>
          <w:p w14:paraId="652CE07A" w14:textId="77777777" w:rsidR="00963E6B" w:rsidRDefault="00963E6B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461E0" w:rsidRPr="00F65668" w14:paraId="439FC720" w14:textId="77777777" w:rsidTr="00D70E13">
        <w:trPr>
          <w:trHeight w:val="517"/>
        </w:trPr>
        <w:tc>
          <w:tcPr>
            <w:tcW w:w="1412" w:type="pct"/>
          </w:tcPr>
          <w:p w14:paraId="075E1D02" w14:textId="017513A0" w:rsidR="000461E0" w:rsidRPr="00EE197A" w:rsidRDefault="000461E0" w:rsidP="00054572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99229D">
              <w:rPr>
                <w:rFonts w:ascii="Arial" w:eastAsiaTheme="minorHAnsi" w:hAnsi="Arial" w:cs="Arial"/>
                <w:sz w:val="24"/>
                <w:szCs w:val="24"/>
              </w:rPr>
              <w:t xml:space="preserve">CP National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Self Evaluation </w:t>
            </w:r>
            <w:r w:rsidRPr="0099229D">
              <w:rPr>
                <w:rFonts w:ascii="Arial" w:eastAsiaTheme="minorHAnsi" w:hAnsi="Arial" w:cs="Arial"/>
                <w:sz w:val="24"/>
                <w:szCs w:val="24"/>
              </w:rPr>
              <w:t>Assessment</w:t>
            </w:r>
          </w:p>
        </w:tc>
        <w:tc>
          <w:tcPr>
            <w:tcW w:w="2604" w:type="pct"/>
          </w:tcPr>
          <w:p w14:paraId="6B75CBAD" w14:textId="732AC03B" w:rsidR="000461E0" w:rsidRDefault="00174560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The group reviewed the potential dates and </w:t>
            </w:r>
            <w:r w:rsidR="00020F89">
              <w:rPr>
                <w:rFonts w:ascii="Arial" w:eastAsiaTheme="minorHAnsi" w:hAnsi="Arial" w:cs="Arial"/>
                <w:sz w:val="24"/>
                <w:szCs w:val="24"/>
              </w:rPr>
              <w:t>provisionally agreed the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24</w:t>
            </w:r>
            <w:r w:rsidRPr="00174560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March 2025</w:t>
            </w:r>
            <w:r w:rsidR="00020F89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84" w:type="pct"/>
          </w:tcPr>
          <w:p w14:paraId="408B85FB" w14:textId="01A3E7A3" w:rsidR="000461E0" w:rsidRDefault="000461E0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461E0" w:rsidRPr="00F65668" w14:paraId="60B75377" w14:textId="77777777" w:rsidTr="00D70E13">
        <w:trPr>
          <w:trHeight w:val="456"/>
        </w:trPr>
        <w:tc>
          <w:tcPr>
            <w:tcW w:w="1412" w:type="pct"/>
          </w:tcPr>
          <w:p w14:paraId="2997272C" w14:textId="77777777" w:rsidR="000461E0" w:rsidRDefault="000461E0" w:rsidP="00014E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AOB </w:t>
            </w:r>
          </w:p>
          <w:p w14:paraId="7B25B039" w14:textId="77777777" w:rsidR="00014E80" w:rsidRDefault="00014E80" w:rsidP="00014E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34A9B6" w14:textId="1EDC0E84" w:rsidR="000461E0" w:rsidRPr="00D31559" w:rsidRDefault="000461E0" w:rsidP="00014E8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31559">
              <w:rPr>
                <w:rFonts w:ascii="Arial" w:eastAsia="Times New Roman" w:hAnsi="Arial" w:cs="Arial"/>
                <w:sz w:val="24"/>
                <w:szCs w:val="24"/>
              </w:rPr>
              <w:t>Proposed 2025 CP Board meeting dates</w:t>
            </w:r>
          </w:p>
          <w:p w14:paraId="0E6CA555" w14:textId="12CBF9D0" w:rsidR="000461E0" w:rsidRPr="00AF1D21" w:rsidRDefault="000461E0" w:rsidP="00BF25B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4" w:type="pct"/>
          </w:tcPr>
          <w:p w14:paraId="7808F6D8" w14:textId="77777777" w:rsidR="000461E0" w:rsidRDefault="000461E0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AF2C627" w14:textId="77777777" w:rsidR="00014E80" w:rsidRDefault="00014E80" w:rsidP="00014E80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30/01/25; 27/03/25; 05/06/25; 11/09/25; 23/10/25; 04/12/25</w:t>
            </w:r>
          </w:p>
          <w:p w14:paraId="1E181161" w14:textId="77777777" w:rsidR="00014E80" w:rsidRDefault="00014E80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84" w:type="pct"/>
          </w:tcPr>
          <w:p w14:paraId="790F72E2" w14:textId="1BC537D3" w:rsidR="000461E0" w:rsidRPr="00F65668" w:rsidRDefault="000461E0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461E0" w:rsidRPr="00F65668" w14:paraId="2ECDD396" w14:textId="77777777" w:rsidTr="00D70E13">
        <w:trPr>
          <w:trHeight w:val="658"/>
        </w:trPr>
        <w:tc>
          <w:tcPr>
            <w:tcW w:w="1412" w:type="pct"/>
          </w:tcPr>
          <w:p w14:paraId="7B2A942E" w14:textId="77777777" w:rsidR="000461E0" w:rsidRDefault="000461E0" w:rsidP="00AF1D2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5668">
              <w:rPr>
                <w:rFonts w:ascii="Arial" w:eastAsia="Times New Roman" w:hAnsi="Arial" w:cs="Arial"/>
                <w:sz w:val="24"/>
                <w:szCs w:val="24"/>
              </w:rPr>
              <w:t>Date of Next Meeting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4EFB9BE" w14:textId="6BFA0301" w:rsidR="00D70E13" w:rsidRDefault="00D70E13" w:rsidP="00D70E1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4" w:type="pct"/>
          </w:tcPr>
          <w:p w14:paraId="31139E0F" w14:textId="75636B96" w:rsidR="000461E0" w:rsidRDefault="00D70E13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30/01/25</w:t>
            </w:r>
          </w:p>
          <w:p w14:paraId="36344501" w14:textId="0C41D885" w:rsidR="00D70E13" w:rsidRDefault="00D70E13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84" w:type="pct"/>
          </w:tcPr>
          <w:p w14:paraId="6BB58C22" w14:textId="4127FD7C" w:rsidR="000461E0" w:rsidRDefault="000461E0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7409F6BC" w14:textId="77777777" w:rsidR="00653A8B" w:rsidRDefault="00653A8B"/>
    <w:sectPr w:rsidR="00653A8B" w:rsidSect="00687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166"/>
    <w:multiLevelType w:val="hybridMultilevel"/>
    <w:tmpl w:val="92E2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50D"/>
    <w:multiLevelType w:val="hybridMultilevel"/>
    <w:tmpl w:val="F0B26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D39C2"/>
    <w:multiLevelType w:val="hybridMultilevel"/>
    <w:tmpl w:val="2DB27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40448"/>
    <w:multiLevelType w:val="hybridMultilevel"/>
    <w:tmpl w:val="F0B26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530A3"/>
    <w:multiLevelType w:val="hybridMultilevel"/>
    <w:tmpl w:val="CE60C1A8"/>
    <w:lvl w:ilvl="0" w:tplc="AE32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34C04"/>
    <w:multiLevelType w:val="hybridMultilevel"/>
    <w:tmpl w:val="FA761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042921"/>
    <w:multiLevelType w:val="hybridMultilevel"/>
    <w:tmpl w:val="44A60AA6"/>
    <w:lvl w:ilvl="0" w:tplc="29A88E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10DC4"/>
    <w:multiLevelType w:val="hybridMultilevel"/>
    <w:tmpl w:val="8C8A1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04911">
    <w:abstractNumId w:val="3"/>
  </w:num>
  <w:num w:numId="2" w16cid:durableId="1935163791">
    <w:abstractNumId w:val="1"/>
  </w:num>
  <w:num w:numId="3" w16cid:durableId="347175799">
    <w:abstractNumId w:val="4"/>
  </w:num>
  <w:num w:numId="4" w16cid:durableId="427895187">
    <w:abstractNumId w:val="2"/>
  </w:num>
  <w:num w:numId="5" w16cid:durableId="2049719015">
    <w:abstractNumId w:val="6"/>
  </w:num>
  <w:num w:numId="6" w16cid:durableId="326246446">
    <w:abstractNumId w:val="5"/>
  </w:num>
  <w:num w:numId="7" w16cid:durableId="1951626488">
    <w:abstractNumId w:val="0"/>
  </w:num>
  <w:num w:numId="8" w16cid:durableId="486358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3C"/>
    <w:rsid w:val="0000289C"/>
    <w:rsid w:val="0001039D"/>
    <w:rsid w:val="000122EA"/>
    <w:rsid w:val="00014E80"/>
    <w:rsid w:val="00020F89"/>
    <w:rsid w:val="000461E0"/>
    <w:rsid w:val="00054572"/>
    <w:rsid w:val="00062D49"/>
    <w:rsid w:val="000670E2"/>
    <w:rsid w:val="000843E8"/>
    <w:rsid w:val="00084517"/>
    <w:rsid w:val="00090BE3"/>
    <w:rsid w:val="000A00ED"/>
    <w:rsid w:val="000C672C"/>
    <w:rsid w:val="000D17BF"/>
    <w:rsid w:val="000D756F"/>
    <w:rsid w:val="000F5A1A"/>
    <w:rsid w:val="001148E2"/>
    <w:rsid w:val="001149A5"/>
    <w:rsid w:val="001158B3"/>
    <w:rsid w:val="001662D6"/>
    <w:rsid w:val="00167126"/>
    <w:rsid w:val="001725DB"/>
    <w:rsid w:val="00174560"/>
    <w:rsid w:val="00176F30"/>
    <w:rsid w:val="001B1A58"/>
    <w:rsid w:val="001C21AE"/>
    <w:rsid w:val="001C37A5"/>
    <w:rsid w:val="001E3812"/>
    <w:rsid w:val="001E4439"/>
    <w:rsid w:val="002114E2"/>
    <w:rsid w:val="00211BB3"/>
    <w:rsid w:val="002407D5"/>
    <w:rsid w:val="00243AA8"/>
    <w:rsid w:val="00284990"/>
    <w:rsid w:val="002A3DE2"/>
    <w:rsid w:val="002D30AD"/>
    <w:rsid w:val="002D6419"/>
    <w:rsid w:val="00315F66"/>
    <w:rsid w:val="00317C2D"/>
    <w:rsid w:val="00341326"/>
    <w:rsid w:val="0034310C"/>
    <w:rsid w:val="00370FC6"/>
    <w:rsid w:val="003715E0"/>
    <w:rsid w:val="003820EC"/>
    <w:rsid w:val="00393382"/>
    <w:rsid w:val="00394936"/>
    <w:rsid w:val="003A5359"/>
    <w:rsid w:val="003B48F7"/>
    <w:rsid w:val="003E2F10"/>
    <w:rsid w:val="0040135F"/>
    <w:rsid w:val="00414AB9"/>
    <w:rsid w:val="00421330"/>
    <w:rsid w:val="00433369"/>
    <w:rsid w:val="004568AD"/>
    <w:rsid w:val="00460B90"/>
    <w:rsid w:val="00483ED0"/>
    <w:rsid w:val="00493AB8"/>
    <w:rsid w:val="004A2660"/>
    <w:rsid w:val="004D22A8"/>
    <w:rsid w:val="004D2843"/>
    <w:rsid w:val="004D4077"/>
    <w:rsid w:val="004E1FC4"/>
    <w:rsid w:val="004E4535"/>
    <w:rsid w:val="005036B1"/>
    <w:rsid w:val="0051327F"/>
    <w:rsid w:val="00521844"/>
    <w:rsid w:val="0055671B"/>
    <w:rsid w:val="00565716"/>
    <w:rsid w:val="00582C78"/>
    <w:rsid w:val="005834CF"/>
    <w:rsid w:val="005950E0"/>
    <w:rsid w:val="005A5040"/>
    <w:rsid w:val="005A5E31"/>
    <w:rsid w:val="005D3EB9"/>
    <w:rsid w:val="005F7738"/>
    <w:rsid w:val="00600E19"/>
    <w:rsid w:val="0060299E"/>
    <w:rsid w:val="006258D9"/>
    <w:rsid w:val="00640D25"/>
    <w:rsid w:val="006469D2"/>
    <w:rsid w:val="00650847"/>
    <w:rsid w:val="00653A8B"/>
    <w:rsid w:val="006752B5"/>
    <w:rsid w:val="00676CF1"/>
    <w:rsid w:val="006776AE"/>
    <w:rsid w:val="006823D6"/>
    <w:rsid w:val="006879E2"/>
    <w:rsid w:val="006905FC"/>
    <w:rsid w:val="006A03AE"/>
    <w:rsid w:val="006B7FCE"/>
    <w:rsid w:val="006C285D"/>
    <w:rsid w:val="006D2ADD"/>
    <w:rsid w:val="006E36D1"/>
    <w:rsid w:val="006E56BF"/>
    <w:rsid w:val="006F5C85"/>
    <w:rsid w:val="00707A97"/>
    <w:rsid w:val="00732243"/>
    <w:rsid w:val="00733973"/>
    <w:rsid w:val="00744E7C"/>
    <w:rsid w:val="007503F0"/>
    <w:rsid w:val="00750408"/>
    <w:rsid w:val="00755FA2"/>
    <w:rsid w:val="007563D8"/>
    <w:rsid w:val="00764FB1"/>
    <w:rsid w:val="0077386A"/>
    <w:rsid w:val="0078269F"/>
    <w:rsid w:val="007829D9"/>
    <w:rsid w:val="007868EB"/>
    <w:rsid w:val="00790F16"/>
    <w:rsid w:val="007A2224"/>
    <w:rsid w:val="007B7FB8"/>
    <w:rsid w:val="007D6338"/>
    <w:rsid w:val="007E19AF"/>
    <w:rsid w:val="007E64EA"/>
    <w:rsid w:val="007E7430"/>
    <w:rsid w:val="007F0F2F"/>
    <w:rsid w:val="0080227B"/>
    <w:rsid w:val="0081522C"/>
    <w:rsid w:val="00827B4C"/>
    <w:rsid w:val="0084424C"/>
    <w:rsid w:val="00870271"/>
    <w:rsid w:val="00871679"/>
    <w:rsid w:val="00872907"/>
    <w:rsid w:val="00873BA1"/>
    <w:rsid w:val="008839C5"/>
    <w:rsid w:val="00887FE3"/>
    <w:rsid w:val="00890FFD"/>
    <w:rsid w:val="00891CD6"/>
    <w:rsid w:val="00895B5A"/>
    <w:rsid w:val="008A784E"/>
    <w:rsid w:val="008B6AC7"/>
    <w:rsid w:val="008C1148"/>
    <w:rsid w:val="008E1B20"/>
    <w:rsid w:val="008E3C75"/>
    <w:rsid w:val="008E7E67"/>
    <w:rsid w:val="008F7548"/>
    <w:rsid w:val="00920ACE"/>
    <w:rsid w:val="00921C04"/>
    <w:rsid w:val="00952FC6"/>
    <w:rsid w:val="0095762A"/>
    <w:rsid w:val="00963E6B"/>
    <w:rsid w:val="00963F9C"/>
    <w:rsid w:val="0097494D"/>
    <w:rsid w:val="00983C8B"/>
    <w:rsid w:val="0099229D"/>
    <w:rsid w:val="009B274B"/>
    <w:rsid w:val="009E344D"/>
    <w:rsid w:val="009E5FFF"/>
    <w:rsid w:val="009E67AD"/>
    <w:rsid w:val="009E6A4C"/>
    <w:rsid w:val="009E6FB4"/>
    <w:rsid w:val="009F14B5"/>
    <w:rsid w:val="00A0516B"/>
    <w:rsid w:val="00A0737F"/>
    <w:rsid w:val="00A102FA"/>
    <w:rsid w:val="00A23DEE"/>
    <w:rsid w:val="00A34B55"/>
    <w:rsid w:val="00A35E11"/>
    <w:rsid w:val="00A425E5"/>
    <w:rsid w:val="00A45AE7"/>
    <w:rsid w:val="00A53745"/>
    <w:rsid w:val="00A57B86"/>
    <w:rsid w:val="00A57BEE"/>
    <w:rsid w:val="00A62261"/>
    <w:rsid w:val="00A635AC"/>
    <w:rsid w:val="00A72B1D"/>
    <w:rsid w:val="00A80BDD"/>
    <w:rsid w:val="00AA33CC"/>
    <w:rsid w:val="00AA5CBC"/>
    <w:rsid w:val="00AA7081"/>
    <w:rsid w:val="00AC3ABE"/>
    <w:rsid w:val="00AE4291"/>
    <w:rsid w:val="00AF1D21"/>
    <w:rsid w:val="00B00DB0"/>
    <w:rsid w:val="00B015EC"/>
    <w:rsid w:val="00B01B96"/>
    <w:rsid w:val="00B02014"/>
    <w:rsid w:val="00B10115"/>
    <w:rsid w:val="00B20238"/>
    <w:rsid w:val="00B53FA9"/>
    <w:rsid w:val="00B6533B"/>
    <w:rsid w:val="00B66D0A"/>
    <w:rsid w:val="00B743F4"/>
    <w:rsid w:val="00B74B8E"/>
    <w:rsid w:val="00B75BFC"/>
    <w:rsid w:val="00B86A1F"/>
    <w:rsid w:val="00B9455E"/>
    <w:rsid w:val="00BB49B9"/>
    <w:rsid w:val="00BB4B8B"/>
    <w:rsid w:val="00BD6329"/>
    <w:rsid w:val="00BE10C9"/>
    <w:rsid w:val="00BE757B"/>
    <w:rsid w:val="00BF2401"/>
    <w:rsid w:val="00BF25B7"/>
    <w:rsid w:val="00BF7C95"/>
    <w:rsid w:val="00C12F0E"/>
    <w:rsid w:val="00C16664"/>
    <w:rsid w:val="00C1671A"/>
    <w:rsid w:val="00C17DF4"/>
    <w:rsid w:val="00C302E5"/>
    <w:rsid w:val="00C32AC6"/>
    <w:rsid w:val="00C43221"/>
    <w:rsid w:val="00C93802"/>
    <w:rsid w:val="00CB725B"/>
    <w:rsid w:val="00CD61CA"/>
    <w:rsid w:val="00CE4936"/>
    <w:rsid w:val="00D033A7"/>
    <w:rsid w:val="00D205D1"/>
    <w:rsid w:val="00D25C48"/>
    <w:rsid w:val="00D25EAE"/>
    <w:rsid w:val="00D314E8"/>
    <w:rsid w:val="00D31559"/>
    <w:rsid w:val="00D40B36"/>
    <w:rsid w:val="00D41488"/>
    <w:rsid w:val="00D60A72"/>
    <w:rsid w:val="00D63DCE"/>
    <w:rsid w:val="00D67AAC"/>
    <w:rsid w:val="00D70E13"/>
    <w:rsid w:val="00D80731"/>
    <w:rsid w:val="00D87987"/>
    <w:rsid w:val="00DD10FA"/>
    <w:rsid w:val="00DE18DA"/>
    <w:rsid w:val="00DE245B"/>
    <w:rsid w:val="00E02253"/>
    <w:rsid w:val="00E06BA5"/>
    <w:rsid w:val="00E1135B"/>
    <w:rsid w:val="00E308D3"/>
    <w:rsid w:val="00E36F7A"/>
    <w:rsid w:val="00E41CF9"/>
    <w:rsid w:val="00E5726E"/>
    <w:rsid w:val="00E64B24"/>
    <w:rsid w:val="00E70783"/>
    <w:rsid w:val="00E80D05"/>
    <w:rsid w:val="00E826AF"/>
    <w:rsid w:val="00EA3304"/>
    <w:rsid w:val="00EA59AF"/>
    <w:rsid w:val="00EA6D48"/>
    <w:rsid w:val="00EB319C"/>
    <w:rsid w:val="00EE1331"/>
    <w:rsid w:val="00EE17E1"/>
    <w:rsid w:val="00EE197A"/>
    <w:rsid w:val="00EE59D1"/>
    <w:rsid w:val="00EF2199"/>
    <w:rsid w:val="00EF4B96"/>
    <w:rsid w:val="00EF613C"/>
    <w:rsid w:val="00F112DD"/>
    <w:rsid w:val="00F20496"/>
    <w:rsid w:val="00F2317F"/>
    <w:rsid w:val="00F26390"/>
    <w:rsid w:val="00F337F6"/>
    <w:rsid w:val="00F34086"/>
    <w:rsid w:val="00F34ADC"/>
    <w:rsid w:val="00F358BB"/>
    <w:rsid w:val="00F40338"/>
    <w:rsid w:val="00F51C70"/>
    <w:rsid w:val="00F54CBA"/>
    <w:rsid w:val="00F65668"/>
    <w:rsid w:val="00F67A05"/>
    <w:rsid w:val="00F911FB"/>
    <w:rsid w:val="00F933F9"/>
    <w:rsid w:val="00F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338F20E"/>
  <w15:chartTrackingRefBased/>
  <w15:docId w15:val="{EFF3B4C0-1AE7-423D-BDBD-DD3B0F79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7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FC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FC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6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.planning@midlothian.gov.uk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C345-2F6B-4AF0-98EA-79CAF0E0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bermins1</dc:creator>
  <cp:keywords/>
  <dc:description/>
  <cp:lastModifiedBy>Rebekah Sullivan</cp:lastModifiedBy>
  <cp:revision>5</cp:revision>
  <cp:lastPrinted>2019-02-07T09:24:00Z</cp:lastPrinted>
  <dcterms:created xsi:type="dcterms:W3CDTF">2025-02-25T10:51:00Z</dcterms:created>
  <dcterms:modified xsi:type="dcterms:W3CDTF">2025-02-25T10:53:00Z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-1253316410</vt:i4>
  </property>
  <property fmtid="{D5CDD505-2E9C-101B-9397-08002B2CF9AE}" pid="3" name="_NewReviewCycle">
    <vt:lpwstr/>
  </property>
  <property fmtid="{D5CDD505-2E9C-101B-9397-08002B2CF9AE}" pid="4" name="_EmailSubject">
    <vt:lpwstr>CPP Board Papers </vt:lpwstr>
  </property>
  <property fmtid="{D5CDD505-2E9C-101B-9397-08002B2CF9AE}" pid="5" name="_AuthorEmail">
    <vt:lpwstr>Rebekah.Sullivan@midlothian.gov.uk</vt:lpwstr>
  </property>
  <property fmtid="{D5CDD505-2E9C-101B-9397-08002B2CF9AE}" pid="6" name="_AuthorEmailDisplayName">
    <vt:lpwstr>Rebekah Sullivan</vt:lpwstr>
  </property>
  <property fmtid="{D5CDD505-2E9C-101B-9397-08002B2CF9AE}" pid="7" name="_PreviousAdHocReviewCycleID">
    <vt:i4>601775749</vt:i4>
  </property>
  <property fmtid="{D5CDD505-2E9C-101B-9397-08002B2CF9AE}" pid="8" name="_ReviewingToolsShownOnce">
    <vt:lpwstr/>
  </property>
</Properties>
</file>